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6C54F" w14:textId="6D2F2356" w:rsidR="00990327" w:rsidRDefault="00990327"/>
    <w:p w14:paraId="446B8E62" w14:textId="6D420E0E" w:rsidR="00990327" w:rsidRDefault="00990327"/>
    <w:p w14:paraId="1A2221BB" w14:textId="2A74B31D" w:rsidR="00990327" w:rsidRDefault="00990327"/>
    <w:p w14:paraId="5A083181" w14:textId="07601721" w:rsidR="00990327" w:rsidRDefault="00990327"/>
    <w:p w14:paraId="0C640ABC" w14:textId="74FC752F" w:rsidR="00990327" w:rsidRDefault="00990327"/>
    <w:p w14:paraId="59339C76" w14:textId="77777777" w:rsidR="00990327" w:rsidRDefault="00990327" w:rsidP="00990327">
      <w:pPr>
        <w:spacing w:line="480" w:lineRule="auto"/>
        <w:jc w:val="center"/>
      </w:pPr>
    </w:p>
    <w:p w14:paraId="07515C36" w14:textId="77777777" w:rsidR="00990327" w:rsidRDefault="00990327" w:rsidP="00990327">
      <w:pPr>
        <w:spacing w:line="480" w:lineRule="auto"/>
        <w:jc w:val="center"/>
      </w:pPr>
    </w:p>
    <w:p w14:paraId="7BC9C2AC" w14:textId="77777777" w:rsidR="00990327" w:rsidRDefault="00990327" w:rsidP="00990327">
      <w:pPr>
        <w:spacing w:line="480" w:lineRule="auto"/>
        <w:jc w:val="center"/>
      </w:pPr>
    </w:p>
    <w:p w14:paraId="1BBAA37B" w14:textId="77777777" w:rsidR="00990327" w:rsidRDefault="00990327" w:rsidP="00990327">
      <w:pPr>
        <w:spacing w:line="480" w:lineRule="auto"/>
        <w:jc w:val="center"/>
      </w:pPr>
    </w:p>
    <w:p w14:paraId="02EBBE1D" w14:textId="77777777" w:rsidR="00990327" w:rsidRDefault="00990327" w:rsidP="00990327">
      <w:pPr>
        <w:spacing w:line="480" w:lineRule="auto"/>
        <w:jc w:val="center"/>
      </w:pPr>
    </w:p>
    <w:p w14:paraId="119B40CD" w14:textId="77777777" w:rsidR="00990327" w:rsidRDefault="00990327" w:rsidP="00990327">
      <w:pPr>
        <w:spacing w:line="480" w:lineRule="auto"/>
        <w:jc w:val="center"/>
      </w:pPr>
    </w:p>
    <w:p w14:paraId="14287055" w14:textId="28E91A1B" w:rsidR="00990327" w:rsidRDefault="00990327" w:rsidP="00990327">
      <w:pPr>
        <w:spacing w:line="480" w:lineRule="auto"/>
        <w:jc w:val="center"/>
      </w:pPr>
      <w:r>
        <w:t>What’s in A Community, A Culture, &amp; A Dream?</w:t>
      </w:r>
    </w:p>
    <w:p w14:paraId="21FB2612" w14:textId="6706C8EF" w:rsidR="00990327" w:rsidRDefault="00990327" w:rsidP="00990327">
      <w:pPr>
        <w:spacing w:line="480" w:lineRule="auto"/>
        <w:jc w:val="center"/>
      </w:pPr>
      <w:r>
        <w:t>COM – 624</w:t>
      </w:r>
    </w:p>
    <w:p w14:paraId="1704B2D3" w14:textId="270CE6F1" w:rsidR="00990327" w:rsidRDefault="00990327" w:rsidP="00990327">
      <w:pPr>
        <w:spacing w:line="480" w:lineRule="auto"/>
        <w:jc w:val="center"/>
      </w:pPr>
      <w:r>
        <w:t>Myna Watford</w:t>
      </w:r>
    </w:p>
    <w:p w14:paraId="350466AC" w14:textId="04E39407" w:rsidR="00990327" w:rsidRDefault="00990327" w:rsidP="00990327">
      <w:pPr>
        <w:spacing w:line="480" w:lineRule="auto"/>
        <w:jc w:val="center"/>
      </w:pPr>
    </w:p>
    <w:p w14:paraId="29B28538" w14:textId="40AD836B" w:rsidR="00990327" w:rsidRDefault="00990327" w:rsidP="00990327">
      <w:pPr>
        <w:spacing w:line="480" w:lineRule="auto"/>
        <w:jc w:val="center"/>
      </w:pPr>
    </w:p>
    <w:p w14:paraId="5B97840D" w14:textId="5EB1BAF1" w:rsidR="00990327" w:rsidRDefault="00990327" w:rsidP="00990327">
      <w:pPr>
        <w:spacing w:line="480" w:lineRule="auto"/>
        <w:jc w:val="center"/>
      </w:pPr>
    </w:p>
    <w:p w14:paraId="635D8FAF" w14:textId="175E0824" w:rsidR="00990327" w:rsidRDefault="00990327" w:rsidP="00990327">
      <w:pPr>
        <w:spacing w:line="480" w:lineRule="auto"/>
        <w:jc w:val="center"/>
      </w:pPr>
    </w:p>
    <w:p w14:paraId="0D6AFF35" w14:textId="5CCD5B96" w:rsidR="00990327" w:rsidRDefault="00990327" w:rsidP="00990327">
      <w:pPr>
        <w:spacing w:line="480" w:lineRule="auto"/>
        <w:jc w:val="center"/>
      </w:pPr>
    </w:p>
    <w:p w14:paraId="4D3F6055" w14:textId="135F8ABA" w:rsidR="00990327" w:rsidRDefault="00990327" w:rsidP="00990327">
      <w:pPr>
        <w:spacing w:line="480" w:lineRule="auto"/>
        <w:jc w:val="center"/>
      </w:pPr>
    </w:p>
    <w:p w14:paraId="5359BFFC" w14:textId="35270C27" w:rsidR="00990327" w:rsidRDefault="00990327" w:rsidP="00990327">
      <w:pPr>
        <w:spacing w:line="480" w:lineRule="auto"/>
        <w:jc w:val="center"/>
      </w:pPr>
    </w:p>
    <w:p w14:paraId="3609F355" w14:textId="36C8E270" w:rsidR="00990327" w:rsidRDefault="00990327" w:rsidP="00990327">
      <w:pPr>
        <w:spacing w:line="480" w:lineRule="auto"/>
        <w:jc w:val="center"/>
      </w:pPr>
    </w:p>
    <w:p w14:paraId="53A3C55E" w14:textId="4CD78974" w:rsidR="00990327" w:rsidRDefault="00990327" w:rsidP="00990327">
      <w:pPr>
        <w:spacing w:line="480" w:lineRule="auto"/>
        <w:jc w:val="center"/>
      </w:pPr>
    </w:p>
    <w:p w14:paraId="03C10CF9" w14:textId="201B5A2A" w:rsidR="00990327" w:rsidRDefault="00990327" w:rsidP="00990327">
      <w:pPr>
        <w:spacing w:line="480" w:lineRule="auto"/>
        <w:jc w:val="center"/>
      </w:pPr>
    </w:p>
    <w:p w14:paraId="545ECF74" w14:textId="544978F2" w:rsidR="00990327" w:rsidRDefault="00990327" w:rsidP="00990327">
      <w:pPr>
        <w:spacing w:line="480" w:lineRule="auto"/>
        <w:jc w:val="center"/>
      </w:pPr>
    </w:p>
    <w:p w14:paraId="1992C9EF" w14:textId="1A50FAAE" w:rsidR="00990327" w:rsidRPr="00990327" w:rsidRDefault="00990327" w:rsidP="00990327">
      <w:pPr>
        <w:spacing w:line="480" w:lineRule="auto"/>
        <w:ind w:left="2880" w:firstLine="720"/>
        <w:rPr>
          <w:b/>
          <w:bCs/>
        </w:rPr>
      </w:pPr>
      <w:r w:rsidRPr="00990327">
        <w:rPr>
          <w:b/>
          <w:bCs/>
        </w:rPr>
        <w:lastRenderedPageBreak/>
        <w:t>What’s in a Community</w:t>
      </w:r>
      <w:r>
        <w:rPr>
          <w:b/>
          <w:bCs/>
        </w:rPr>
        <w:t>?</w:t>
      </w:r>
    </w:p>
    <w:p w14:paraId="077CC078" w14:textId="28414EAE" w:rsidR="00990327" w:rsidRDefault="00990327" w:rsidP="00990327">
      <w:pPr>
        <w:spacing w:line="480" w:lineRule="auto"/>
        <w:jc w:val="both"/>
      </w:pPr>
      <w:r>
        <w:tab/>
        <w:t xml:space="preserve">Growing up, I would have defined a “community” as primarily individuals within my neighborhood, or a close geographical location to where I resided. As a child, it was my understanding and belief that a community was intricately tied to a physical location or shared dwelling with other individuals. Today however; my perspective on what makes up a community has undoubtedly changed. </w:t>
      </w:r>
      <w:r w:rsidR="002E5860">
        <w:t>The Blackwell Encyclopedia</w:t>
      </w:r>
      <w:r>
        <w:t xml:space="preserve"> defines a community as a social unit (a group of living things) with commonality such as norms, religion, values, customs, or identity. Communities may share a sense of place situated in a given geographical area (e.g. a country, village, town, or neighborhood) or a virtual space through communication platforms. Durable relations that extend beyond immediate genealogical ties also define a sense of community, important to their identity, practice, and roles in social institutions such as family, home, work, government, society, or humanity at large (Blackwell Encyclopedia, 2016). </w:t>
      </w:r>
    </w:p>
    <w:p w14:paraId="77FDE840" w14:textId="2B215ADB" w:rsidR="00990327" w:rsidRDefault="00990327" w:rsidP="00990327">
      <w:pPr>
        <w:spacing w:line="480" w:lineRule="auto"/>
        <w:jc w:val="both"/>
      </w:pPr>
      <w:r>
        <w:tab/>
        <w:t xml:space="preserve">Although my concept of a community from a physical sense has far surpassed my initial understanding as a child, the ties that bind or makeup a community from a commonality perspective, seem to encompass a part of my original belief…just far more advanced. A part of that stems from the fact that the digitized world and the internet was never even a thought in my mind, as computers at that time, were practically just for keyboarding class, and playing solitaire or Oregon trails. </w:t>
      </w:r>
    </w:p>
    <w:p w14:paraId="39A74113" w14:textId="434E5A9E" w:rsidR="00990327" w:rsidRDefault="00990327" w:rsidP="00990327">
      <w:pPr>
        <w:spacing w:line="480" w:lineRule="auto"/>
        <w:jc w:val="both"/>
      </w:pPr>
      <w:r>
        <w:tab/>
        <w:t xml:space="preserve">With the emergence of the internet, communities have taken on a whole new meaning within the digital space. In this respect, it is not surprising that as the internet has become integral to daily life for many, it also has become a new site for the articulation of all types of groupings and communities (Miller, 2011, p. 190). Once we start to consider digital media as producing </w:t>
      </w:r>
      <w:r>
        <w:lastRenderedPageBreak/>
        <w:t xml:space="preserve">processes, experiences, or conversations in continual flux more than they are producing finite ‘objects’, the more we are able to see how digital media has as much as, or perhaps more, in common with the tradition of the telephone and other telecommunications than with the aesthetic tradition of the novel or the painting. One thing that communication technologies have the potential to do is alter our feelings or presence. The term presence itself can be considered ‘the experience of one’s physical environment’, or more generally, ‘the sense of being in an environment (Steuer, 1992: 75). Presence is relatively unproblematic  in unmediated situations, we </w:t>
      </w:r>
      <w:r w:rsidRPr="00990327">
        <w:rPr>
          <w:i/>
          <w:iCs/>
        </w:rPr>
        <w:t>are</w:t>
      </w:r>
      <w:r>
        <w:t xml:space="preserve"> where we ‘are’, and that seems quite obvious and simple. However, when mediated communication or </w:t>
      </w:r>
      <w:r w:rsidR="002E5860">
        <w:t>long-distance</w:t>
      </w:r>
      <w:r>
        <w:t xml:space="preserve"> interaction is introduced into the equation, things begin to change. In this situation, we gain the ability to simultaneously exist in two different environments at the same time: the physical environment in which our body is located and the conceptual or interactional ‘space” we are presented with through the use of the medium (Miller, 2011, p. 30-31). </w:t>
      </w:r>
    </w:p>
    <w:p w14:paraId="69D837C3" w14:textId="649F859E" w:rsidR="00990327" w:rsidRPr="00990327" w:rsidRDefault="00990327" w:rsidP="00990327">
      <w:pPr>
        <w:spacing w:line="480" w:lineRule="auto"/>
        <w:jc w:val="both"/>
        <w:rPr>
          <w:b/>
          <w:bCs/>
        </w:rPr>
      </w:pPr>
      <w:r>
        <w:tab/>
        <w:t xml:space="preserve">In the past few weeks, I’ve had the opportunity to observe a virtual community via Facebook, called Dream Catchers: Live Richer with the Budgetnista. This group consists of those individuals who share the common goal of enriching their lives through better budgeting practices, increasing their credit scores, or simply getting advice from those about loan or product types being offered to them. Every member or individual who joins the group, likely has a goal in mind to do one of the aforementioned items mentioned. This ultimately is the starting bond amongst the group; it is what links each individual virtually to the next and establishes the community-like bond. </w:t>
      </w:r>
    </w:p>
    <w:p w14:paraId="5AF3A8A8" w14:textId="77777777" w:rsidR="00990327" w:rsidRDefault="00990327" w:rsidP="00990327">
      <w:pPr>
        <w:spacing w:line="480" w:lineRule="auto"/>
        <w:jc w:val="center"/>
        <w:rPr>
          <w:b/>
          <w:bCs/>
        </w:rPr>
      </w:pPr>
    </w:p>
    <w:p w14:paraId="3DC3F436" w14:textId="374486C9" w:rsidR="00990327" w:rsidRPr="00990327" w:rsidRDefault="00990327" w:rsidP="00990327">
      <w:pPr>
        <w:spacing w:line="480" w:lineRule="auto"/>
        <w:jc w:val="center"/>
        <w:rPr>
          <w:b/>
          <w:bCs/>
        </w:rPr>
      </w:pPr>
      <w:r w:rsidRPr="00990327">
        <w:rPr>
          <w:b/>
          <w:bCs/>
        </w:rPr>
        <w:lastRenderedPageBreak/>
        <w:t>It’s in the Culture</w:t>
      </w:r>
    </w:p>
    <w:p w14:paraId="21748F3B" w14:textId="3A8CB8FD" w:rsidR="00990327" w:rsidRDefault="00990327" w:rsidP="00990327">
      <w:pPr>
        <w:spacing w:line="480" w:lineRule="auto"/>
        <w:jc w:val="both"/>
      </w:pPr>
      <w:r>
        <w:tab/>
        <w:t xml:space="preserve">Digital cultures represent the social relationships that occur through immersion in the realm of the Internet, video games, smartphones and other high-tech platforms and devices. To further simplify it, it means the values, beliefs and behaviors  that are typical and defining a group (Reed, 2019, p. 2). Cultures are often formed as a result of established communities. </w:t>
      </w:r>
      <w:r>
        <w:tab/>
      </w:r>
    </w:p>
    <w:p w14:paraId="09944DBE" w14:textId="07855758" w:rsidR="00990327" w:rsidRDefault="00990327" w:rsidP="00990327">
      <w:pPr>
        <w:spacing w:line="480" w:lineRule="auto"/>
        <w:ind w:firstLine="720"/>
        <w:jc w:val="both"/>
      </w:pPr>
      <w:r>
        <w:t xml:space="preserve">Each community has a unique way of communicating with one another through various channels or mechanisms. Every container of information, and every way of organizing information, creates an information architecture of its own that has cultural implications. The Dream Catcher group appears to be no different, in the fact that each of the members shares a common goal and they collectively work towards building one another up through the sharing of knowledge and information either as a personal testimony or feedback from questioning presented. Regardless of how the information is derived, the culture and mentality of the group is ultimately that of “each one teach one”. If a particular budgeting method worked for you, then you were excited to share that with the community. If you were able to save enough money in order to purchase your first home or car, then you posted it in the group for others to be encouraged in hopes that they could do the same. For the individual whose credit score went from being at a low number to much higher, then this group served as inspiration to those suffering from being in a similar situation, that they could also overcome their current challenges. </w:t>
      </w:r>
    </w:p>
    <w:p w14:paraId="6CD1D249" w14:textId="0A4EB90F" w:rsidR="00990327" w:rsidRDefault="00990327" w:rsidP="00990327">
      <w:pPr>
        <w:spacing w:line="480" w:lineRule="auto"/>
        <w:jc w:val="both"/>
      </w:pPr>
      <w:r>
        <w:tab/>
        <w:t>On Saturday, there were a total of 5 members sharing the success in a home purchase, or an increase of their credit score since being a part of the group. One member, Tanika, wrote the following…</w:t>
      </w:r>
    </w:p>
    <w:p w14:paraId="0DE049A5" w14:textId="3A1E5387" w:rsidR="00990327" w:rsidRDefault="00990327" w:rsidP="00990327">
      <w:pPr>
        <w:spacing w:line="480" w:lineRule="auto"/>
        <w:jc w:val="both"/>
        <w:rPr>
          <w:i/>
          <w:iCs/>
        </w:rPr>
      </w:pPr>
      <w:r w:rsidRPr="00990327">
        <w:rPr>
          <w:i/>
          <w:iCs/>
        </w:rPr>
        <w:lastRenderedPageBreak/>
        <w:t xml:space="preserve">“With everything I learned from budgeting, saving, and getting my credit from the low 500’s to mid 700’s. I paid all of my debt off a year ago and reading all of your success stories, I am pleased to announce that I close don my home on 3/31. The cost of my home was $132,000 with </w:t>
      </w:r>
      <w:r w:rsidR="002E5860" w:rsidRPr="00990327">
        <w:rPr>
          <w:i/>
          <w:iCs/>
        </w:rPr>
        <w:t>an</w:t>
      </w:r>
      <w:r w:rsidRPr="00990327">
        <w:rPr>
          <w:i/>
          <w:iCs/>
        </w:rPr>
        <w:t xml:space="preserve"> interest rate of 2.8. I’m so excited and looking forward to creating memories with my family. Thanks everyone”. </w:t>
      </w:r>
    </w:p>
    <w:p w14:paraId="645347C0" w14:textId="1B961CF7" w:rsidR="00990327" w:rsidRDefault="00990327" w:rsidP="00990327">
      <w:pPr>
        <w:spacing w:line="480" w:lineRule="auto"/>
        <w:jc w:val="both"/>
      </w:pPr>
      <w:r>
        <w:t xml:space="preserve">Tanika’s Facebook post in the group, generated over fifteen-hundred likes, and she received almost three-hundred comments. The majority, if not all of those who commented, showered her with congratulatory praises. Ironically, on that same day, another user, provided an image, showing that she had made her final payment on her mortgage, by following the principles learned within the group; she too generated upwards of fourteen-hundred likes, and dozens of congratulatory messages. </w:t>
      </w:r>
    </w:p>
    <w:p w14:paraId="3BDE0C94" w14:textId="6F89AB91" w:rsidR="00990327" w:rsidRDefault="00990327" w:rsidP="00990327">
      <w:pPr>
        <w:spacing w:line="480" w:lineRule="auto"/>
        <w:jc w:val="both"/>
      </w:pPr>
      <w:r>
        <w:tab/>
        <w:t>Jennifer shared the following testimony pertaining to her success of the group…</w:t>
      </w:r>
    </w:p>
    <w:p w14:paraId="174EE3AF" w14:textId="7E08BE02" w:rsidR="00990327" w:rsidRPr="00990327" w:rsidRDefault="00990327" w:rsidP="00990327">
      <w:pPr>
        <w:spacing w:line="480" w:lineRule="auto"/>
        <w:jc w:val="both"/>
        <w:rPr>
          <w:i/>
          <w:iCs/>
        </w:rPr>
      </w:pPr>
      <w:r w:rsidRPr="00990327">
        <w:rPr>
          <w:i/>
          <w:iCs/>
        </w:rPr>
        <w:t xml:space="preserve">“When I first started this group years ago, I believe I was in the high 400s. Poor money management. Didn’t pay bills on time. Only paid minimum on credit cards, etc. I got tired of wasting my money, so I turned to this group. Today, I finally paid my truck off!!!! Car is also paid in full!!! I needed a second vehicle and paid cash for the car at a government surplus auction a couple of years ago. Starting bid was $3200. Today, I have excellent credit!! Things I did to accomplish this…(1). Made my mind up that I wanted to get out of debt and get wealthy (2). Obtained extra income (3). Paid bills before they were due (4). Always paid more than the minimum (5). Kept utilization of credit cards below 30%. The lower the better (6). Save, save, save!! (7). Adjust, but live as well. Don’t totally deprive yourself. It will cause you to relapse. (In the beginning, I was very strict with where my money was going. Once I started making continuous </w:t>
      </w:r>
      <w:r w:rsidRPr="00990327">
        <w:rPr>
          <w:i/>
          <w:iCs/>
        </w:rPr>
        <w:lastRenderedPageBreak/>
        <w:t xml:space="preserve">progress, I started factoring myself into the budget. Dinner out, shopping money, </w:t>
      </w:r>
      <w:r w:rsidR="002E5860" w:rsidRPr="00990327">
        <w:rPr>
          <w:i/>
          <w:iCs/>
        </w:rPr>
        <w:t>etc.</w:t>
      </w:r>
      <w:r w:rsidRPr="00990327">
        <w:rPr>
          <w:i/>
          <w:iCs/>
        </w:rPr>
        <w:t xml:space="preserve">) (8). Learned to say NO! Thank God and Tiffany for their guidance! With you guys advice, I would not be here today. God bless and be safe!! </w:t>
      </w:r>
    </w:p>
    <w:p w14:paraId="66B757E2" w14:textId="5EB6025B" w:rsidR="00990327" w:rsidRPr="00990327" w:rsidRDefault="00990327" w:rsidP="00990327">
      <w:pPr>
        <w:spacing w:line="480" w:lineRule="auto"/>
        <w:jc w:val="both"/>
      </w:pPr>
      <w:r>
        <w:rPr>
          <w:noProof/>
        </w:rPr>
        <w:drawing>
          <wp:inline distT="0" distB="0" distL="0" distR="0" wp14:anchorId="3A058263" wp14:editId="3A2E3917">
            <wp:extent cx="2227580" cy="2200275"/>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6113.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27580" cy="2200275"/>
                    </a:xfrm>
                    <a:prstGeom prst="rect">
                      <a:avLst/>
                    </a:prstGeom>
                  </pic:spPr>
                </pic:pic>
              </a:graphicData>
            </a:graphic>
          </wp:inline>
        </w:drawing>
      </w:r>
      <w:r w:rsidRPr="00990327">
        <w:rPr>
          <w:sz w:val="18"/>
          <w:szCs w:val="18"/>
        </w:rPr>
        <w:t>Screenshot of a member with a higher credit score</w:t>
      </w:r>
    </w:p>
    <w:p w14:paraId="4974097E" w14:textId="25CBF0ED" w:rsidR="00990327" w:rsidRPr="00990327" w:rsidRDefault="00990327" w:rsidP="00990327">
      <w:pPr>
        <w:spacing w:line="480" w:lineRule="auto"/>
        <w:jc w:val="center"/>
        <w:rPr>
          <w:b/>
          <w:bCs/>
        </w:rPr>
      </w:pPr>
      <w:r w:rsidRPr="00990327">
        <w:rPr>
          <w:b/>
          <w:bCs/>
        </w:rPr>
        <w:t>It was All a Dream</w:t>
      </w:r>
    </w:p>
    <w:p w14:paraId="78A834B9" w14:textId="43A19DB3" w:rsidR="00990327" w:rsidRDefault="00990327" w:rsidP="00990327">
      <w:pPr>
        <w:spacing w:line="480" w:lineRule="auto"/>
        <w:jc w:val="both"/>
      </w:pPr>
      <w:r>
        <w:tab/>
        <w:t xml:space="preserve">One of the most poignant observations that I’ve made since being a part of the Dream Catchers group, is that there is a place for everyone. It doesn’t matter if your credit score is the lowest or the lows, or the highest of the highs, if you desire to improve yourself financially, then there is a place for you. Members come away more confident in their budgeting practices, and how they see money based on the interactions amongst those in the community. Two-way communication networks allow users to ‘answer back’, in addition to being able to contribute to the media environment through individual or collaborative efforts (Miller, 2011, p. 22). </w:t>
      </w:r>
      <w:r>
        <w:tab/>
      </w:r>
    </w:p>
    <w:p w14:paraId="7CF2D18A" w14:textId="77777777" w:rsidR="00990327" w:rsidRDefault="00990327" w:rsidP="00990327">
      <w:pPr>
        <w:spacing w:line="480" w:lineRule="auto"/>
        <w:jc w:val="both"/>
      </w:pPr>
      <w:r>
        <w:tab/>
        <w:t xml:space="preserve">Nonetheless, even if members aren’t active participants in the dialogue portion of the group, they visually still have the opportunity to soak up the information that is presented and apply it as they see fit. Since the prerequisite for joining the group, requires members to answer a series of financial questions, the intent of most users is likely to find a way to proactively change their life financially. </w:t>
      </w:r>
    </w:p>
    <w:p w14:paraId="2A2BA310" w14:textId="1B0B6B1F" w:rsidR="00990327" w:rsidRDefault="00990327" w:rsidP="00990327">
      <w:pPr>
        <w:spacing w:line="480" w:lineRule="auto"/>
        <w:ind w:firstLine="720"/>
        <w:jc w:val="both"/>
      </w:pPr>
      <w:r>
        <w:lastRenderedPageBreak/>
        <w:t xml:space="preserve">Consequently, the communication style of Dream Catchers is always empowering, uplifting, encouraging, and motivational in that no user is alone on either side (albeit good or bad). The group works to establish an inclusive community for all despite a member’s current standing, because at some point, those who were once poor budgeters, are now masters at financial management. This financial safe place keeps members from feeling judged by their prior poor decisions when they see people such as Jennifer and Tanika, who were both once in their predicament, share their newfound success stories. </w:t>
      </w:r>
    </w:p>
    <w:p w14:paraId="201946F3" w14:textId="48CD5151" w:rsidR="00990327" w:rsidRDefault="00990327" w:rsidP="00990327">
      <w:pPr>
        <w:spacing w:line="480" w:lineRule="auto"/>
        <w:ind w:firstLine="720"/>
        <w:jc w:val="both"/>
      </w:pPr>
      <w:r>
        <w:t xml:space="preserve">In essence, people want to be a part of communities (Miller, 2011, p. 184). Whether those communities are virtual or in the real world seems to be irrelevant. However, the beauty of the virtual world is that the internet and other digital communication technologies liberate individuals from the social, geographical and biological constraints of place and proximity (Wilson, 1997). The compressed space of digital communication networks means that (theoretically at least), anyone can establish contact with anyone, despite their real-world location. This frees up individuals to associate with like-minded others, those with common interests, values beliefs or passions. According to Licklider et.al, as cited in Rheingold, “Life will be happier for the on-line individual because the people with whom one interacts most strongly will be selected more by commonality of interest and goals, rather than by accidents of proximity (p. 191). </w:t>
      </w:r>
    </w:p>
    <w:p w14:paraId="2B5406A7" w14:textId="77777777" w:rsidR="00990327" w:rsidRDefault="00990327" w:rsidP="00990327">
      <w:pPr>
        <w:spacing w:line="480" w:lineRule="auto"/>
        <w:ind w:firstLine="720"/>
        <w:jc w:val="both"/>
      </w:pPr>
    </w:p>
    <w:p w14:paraId="1CDA93C5" w14:textId="0863BB65" w:rsidR="00990327" w:rsidRDefault="00990327" w:rsidP="00990327">
      <w:pPr>
        <w:spacing w:line="480" w:lineRule="auto"/>
        <w:jc w:val="both"/>
      </w:pPr>
    </w:p>
    <w:p w14:paraId="7518C876" w14:textId="06815BFF" w:rsidR="00990327" w:rsidRDefault="00990327" w:rsidP="00990327">
      <w:pPr>
        <w:spacing w:line="480" w:lineRule="auto"/>
        <w:jc w:val="both"/>
      </w:pPr>
    </w:p>
    <w:p w14:paraId="2BB2FEA9" w14:textId="0CE055A4" w:rsidR="00990327" w:rsidRDefault="00990327" w:rsidP="00990327">
      <w:pPr>
        <w:spacing w:line="480" w:lineRule="auto"/>
        <w:jc w:val="both"/>
      </w:pPr>
    </w:p>
    <w:p w14:paraId="244A9BAE" w14:textId="5D4337ED" w:rsidR="00990327" w:rsidRDefault="00990327" w:rsidP="00990327">
      <w:pPr>
        <w:spacing w:line="480" w:lineRule="auto"/>
        <w:jc w:val="both"/>
      </w:pPr>
    </w:p>
    <w:p w14:paraId="76C57781" w14:textId="62F82788" w:rsidR="00990327" w:rsidRPr="00990327" w:rsidRDefault="00990327" w:rsidP="00990327">
      <w:pPr>
        <w:spacing w:line="480" w:lineRule="auto"/>
        <w:jc w:val="both"/>
        <w:rPr>
          <w:b/>
          <w:bCs/>
          <w:color w:val="000000" w:themeColor="text1"/>
        </w:rPr>
      </w:pPr>
      <w:r w:rsidRPr="00990327">
        <w:rPr>
          <w:b/>
          <w:bCs/>
          <w:color w:val="000000" w:themeColor="text1"/>
        </w:rPr>
        <w:lastRenderedPageBreak/>
        <w:t xml:space="preserve">Resources: </w:t>
      </w:r>
    </w:p>
    <w:p w14:paraId="1816423D" w14:textId="7FEBE472" w:rsidR="00990327" w:rsidRPr="00990327" w:rsidRDefault="00990327" w:rsidP="00990327">
      <w:pPr>
        <w:spacing w:line="480" w:lineRule="auto"/>
        <w:jc w:val="both"/>
        <w:rPr>
          <w:color w:val="000000" w:themeColor="text1"/>
        </w:rPr>
      </w:pPr>
      <w:r w:rsidRPr="00990327">
        <w:rPr>
          <w:color w:val="000000" w:themeColor="text1"/>
        </w:rPr>
        <w:t xml:space="preserve"> Community: The Blackwell Encyclopedia of Sociology: Blackwell Encyclopedia of </w:t>
      </w:r>
    </w:p>
    <w:p w14:paraId="0823BE48" w14:textId="0334C78C" w:rsidR="00990327" w:rsidRPr="00990327" w:rsidRDefault="00990327" w:rsidP="00990327">
      <w:pPr>
        <w:spacing w:line="480" w:lineRule="auto"/>
        <w:ind w:firstLine="720"/>
        <w:jc w:val="both"/>
        <w:rPr>
          <w:color w:val="000000" w:themeColor="text1"/>
        </w:rPr>
      </w:pPr>
      <w:r w:rsidRPr="00990327">
        <w:rPr>
          <w:color w:val="000000" w:themeColor="text1"/>
        </w:rPr>
        <w:t xml:space="preserve">SociolOnline. (2016).  Retrieved from: </w:t>
      </w:r>
      <w:hyperlink r:id="rId5" w:history="1">
        <w:r w:rsidRPr="00990327">
          <w:rPr>
            <w:rStyle w:val="Hyperlink"/>
            <w:color w:val="000000" w:themeColor="text1"/>
          </w:rPr>
          <w:t>www.sociologyencyclopedia.com</w:t>
        </w:r>
      </w:hyperlink>
      <w:r w:rsidRPr="00990327">
        <w:rPr>
          <w:color w:val="000000" w:themeColor="text1"/>
        </w:rPr>
        <w:t xml:space="preserve">. </w:t>
      </w:r>
    </w:p>
    <w:p w14:paraId="2F5171F7" w14:textId="77777777" w:rsidR="00990327" w:rsidRPr="00990327" w:rsidRDefault="00990327" w:rsidP="00990327">
      <w:pPr>
        <w:spacing w:line="480" w:lineRule="auto"/>
        <w:rPr>
          <w:rFonts w:eastAsia="Times New Roman" w:cstheme="minorHAnsi"/>
          <w:color w:val="000000" w:themeColor="text1"/>
          <w:shd w:val="clear" w:color="auto" w:fill="FFFFFF"/>
        </w:rPr>
      </w:pPr>
      <w:r w:rsidRPr="00990327">
        <w:rPr>
          <w:rFonts w:eastAsia="Times New Roman" w:cstheme="minorHAnsi"/>
          <w:color w:val="000000" w:themeColor="text1"/>
          <w:shd w:val="clear" w:color="auto" w:fill="FFFFFF"/>
        </w:rPr>
        <w:t xml:space="preserve">Licklider, J., Taylor, R. and Herbert, E. (1968). ‘The Computer as a Computational Device’, </w:t>
      </w:r>
    </w:p>
    <w:p w14:paraId="4B3A38C9" w14:textId="628DDD28" w:rsidR="00990327" w:rsidRPr="00990327" w:rsidRDefault="00990327" w:rsidP="00990327">
      <w:pPr>
        <w:spacing w:line="480" w:lineRule="auto"/>
        <w:ind w:firstLine="720"/>
        <w:rPr>
          <w:rFonts w:eastAsia="Times New Roman" w:cstheme="minorHAnsi"/>
          <w:color w:val="000000" w:themeColor="text1"/>
          <w:shd w:val="clear" w:color="auto" w:fill="FFFFFF"/>
        </w:rPr>
      </w:pPr>
      <w:r w:rsidRPr="00990327">
        <w:rPr>
          <w:rFonts w:eastAsia="Times New Roman" w:cstheme="minorHAnsi"/>
          <w:i/>
          <w:iCs/>
          <w:color w:val="000000" w:themeColor="text1"/>
          <w:shd w:val="clear" w:color="auto" w:fill="FFFFFF"/>
        </w:rPr>
        <w:t>International Science and Technology</w:t>
      </w:r>
      <w:r w:rsidRPr="00990327">
        <w:rPr>
          <w:rFonts w:eastAsia="Times New Roman" w:cstheme="minorHAnsi"/>
          <w:color w:val="000000" w:themeColor="text1"/>
          <w:shd w:val="clear" w:color="auto" w:fill="FFFFFF"/>
        </w:rPr>
        <w:t xml:space="preserve">, April. </w:t>
      </w:r>
    </w:p>
    <w:p w14:paraId="6CD82F25" w14:textId="45FFA42E" w:rsidR="00990327" w:rsidRPr="00F52C89" w:rsidRDefault="00990327" w:rsidP="00990327">
      <w:pPr>
        <w:rPr>
          <w:rFonts w:eastAsia="Times New Roman" w:cstheme="minorHAnsi"/>
          <w:color w:val="000000" w:themeColor="text1"/>
        </w:rPr>
      </w:pPr>
      <w:r w:rsidRPr="00F52C89">
        <w:rPr>
          <w:rFonts w:eastAsia="Times New Roman" w:cstheme="minorHAnsi"/>
          <w:color w:val="000000" w:themeColor="text1"/>
          <w:shd w:val="clear" w:color="auto" w:fill="FFFFFF"/>
        </w:rPr>
        <w:t>Miller, V. (2011). </w:t>
      </w:r>
      <w:r w:rsidRPr="00F52C89">
        <w:rPr>
          <w:rFonts w:eastAsia="Times New Roman" w:cstheme="minorHAnsi"/>
          <w:i/>
          <w:iCs/>
          <w:color w:val="000000" w:themeColor="text1"/>
        </w:rPr>
        <w:t>Understanding Digital Culture. </w:t>
      </w:r>
      <w:r w:rsidRPr="00F52C89">
        <w:rPr>
          <w:rFonts w:eastAsia="Times New Roman" w:cstheme="minorHAnsi"/>
          <w:color w:val="000000" w:themeColor="text1"/>
          <w:shd w:val="clear" w:color="auto" w:fill="FFFFFF"/>
        </w:rPr>
        <w:t>London: Sage Publications Inc.</w:t>
      </w:r>
    </w:p>
    <w:p w14:paraId="3C9585C5" w14:textId="77777777" w:rsidR="00990327" w:rsidRPr="00990327" w:rsidRDefault="00990327" w:rsidP="00990327">
      <w:pPr>
        <w:jc w:val="both"/>
        <w:rPr>
          <w:rFonts w:cstheme="minorHAnsi"/>
          <w:color w:val="000000" w:themeColor="text1"/>
          <w:shd w:val="clear" w:color="auto" w:fill="FFFFFF"/>
        </w:rPr>
      </w:pPr>
    </w:p>
    <w:p w14:paraId="5324382D" w14:textId="77777777" w:rsidR="00990327" w:rsidRPr="00990327" w:rsidRDefault="00990327" w:rsidP="00990327">
      <w:pPr>
        <w:spacing w:line="480" w:lineRule="auto"/>
        <w:jc w:val="both"/>
        <w:rPr>
          <w:rFonts w:cstheme="minorHAnsi"/>
          <w:color w:val="000000" w:themeColor="text1"/>
          <w:shd w:val="clear" w:color="auto" w:fill="FFFFFF"/>
        </w:rPr>
      </w:pPr>
      <w:r w:rsidRPr="00990327">
        <w:rPr>
          <w:rFonts w:cstheme="minorHAnsi"/>
          <w:color w:val="000000" w:themeColor="text1"/>
          <w:shd w:val="clear" w:color="auto" w:fill="FFFFFF"/>
        </w:rPr>
        <w:t xml:space="preserve">Reed. T.V, (2019) Digitized Lives: Culture, Power, and Social Change in the Internet Era. Routledge. </w:t>
      </w:r>
    </w:p>
    <w:p w14:paraId="63B7E9D3" w14:textId="0C11AB6D" w:rsidR="00990327" w:rsidRPr="00990327" w:rsidRDefault="00990327" w:rsidP="00990327">
      <w:pPr>
        <w:spacing w:line="480" w:lineRule="auto"/>
        <w:ind w:firstLine="720"/>
        <w:jc w:val="both"/>
        <w:rPr>
          <w:rFonts w:cstheme="minorHAnsi"/>
          <w:color w:val="000000" w:themeColor="text1"/>
          <w:shd w:val="clear" w:color="auto" w:fill="FFFFFF"/>
        </w:rPr>
      </w:pPr>
      <w:r w:rsidRPr="00990327">
        <w:rPr>
          <w:rFonts w:cstheme="minorHAnsi"/>
          <w:color w:val="000000" w:themeColor="text1"/>
          <w:shd w:val="clear" w:color="auto" w:fill="FFFFFF"/>
        </w:rPr>
        <w:t>New York, N.Y.</w:t>
      </w:r>
    </w:p>
    <w:p w14:paraId="09C52114" w14:textId="77777777" w:rsidR="00990327" w:rsidRPr="00990327" w:rsidRDefault="00990327" w:rsidP="00990327">
      <w:pPr>
        <w:spacing w:line="480" w:lineRule="auto"/>
        <w:jc w:val="both"/>
        <w:rPr>
          <w:color w:val="000000" w:themeColor="text1"/>
        </w:rPr>
      </w:pPr>
      <w:r w:rsidRPr="00990327">
        <w:rPr>
          <w:color w:val="000000" w:themeColor="text1"/>
        </w:rPr>
        <w:t xml:space="preserve">Steuer, J. (1992) ‘Defining Virtual Reality: Dimensions Determining Telepresence’, Journal of </w:t>
      </w:r>
    </w:p>
    <w:p w14:paraId="2B388CA9" w14:textId="1CEA3BDB" w:rsidR="00990327" w:rsidRPr="00990327" w:rsidRDefault="00990327" w:rsidP="00990327">
      <w:pPr>
        <w:spacing w:line="480" w:lineRule="auto"/>
        <w:ind w:firstLine="720"/>
        <w:jc w:val="both"/>
        <w:rPr>
          <w:color w:val="000000" w:themeColor="text1"/>
        </w:rPr>
      </w:pPr>
      <w:r w:rsidRPr="00990327">
        <w:rPr>
          <w:color w:val="000000" w:themeColor="text1"/>
        </w:rPr>
        <w:t xml:space="preserve">Communication, 4(2): 73 – 93. </w:t>
      </w:r>
    </w:p>
    <w:p w14:paraId="2AB39248" w14:textId="77777777" w:rsidR="00990327" w:rsidRPr="00990327" w:rsidRDefault="00990327" w:rsidP="00990327">
      <w:pPr>
        <w:spacing w:line="480" w:lineRule="auto"/>
        <w:jc w:val="both"/>
        <w:rPr>
          <w:color w:val="000000" w:themeColor="text1"/>
        </w:rPr>
      </w:pPr>
      <w:r w:rsidRPr="00990327">
        <w:rPr>
          <w:color w:val="000000" w:themeColor="text1"/>
        </w:rPr>
        <w:t xml:space="preserve">Wilson, M. (1997). ‘Community in the Abstract: a Practical and Ethical Dilemma?’, in D. Holmes </w:t>
      </w:r>
    </w:p>
    <w:p w14:paraId="6107106E" w14:textId="207E5C9C" w:rsidR="00990327" w:rsidRDefault="00990327" w:rsidP="00990327">
      <w:pPr>
        <w:spacing w:line="480" w:lineRule="auto"/>
        <w:ind w:firstLine="720"/>
        <w:jc w:val="both"/>
      </w:pPr>
      <w:r w:rsidRPr="00990327">
        <w:rPr>
          <w:color w:val="000000" w:themeColor="text1"/>
        </w:rPr>
        <w:t xml:space="preserve">(ed.) </w:t>
      </w:r>
      <w:r w:rsidRPr="00990327">
        <w:rPr>
          <w:i/>
          <w:iCs/>
          <w:color w:val="000000" w:themeColor="text1"/>
        </w:rPr>
        <w:t>Virtual Politics: Identity and Community in Cyberspace</w:t>
      </w:r>
      <w:r w:rsidRPr="00990327">
        <w:rPr>
          <w:color w:val="000000" w:themeColor="text1"/>
        </w:rPr>
        <w:t>, London: Sage, pp. 145 – 165</w:t>
      </w:r>
      <w:r>
        <w:t>.</w:t>
      </w:r>
    </w:p>
    <w:sectPr w:rsidR="00990327" w:rsidSect="00ED35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327"/>
    <w:rsid w:val="002E5860"/>
    <w:rsid w:val="00990327"/>
    <w:rsid w:val="00ED35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0211F0F"/>
  <w15:chartTrackingRefBased/>
  <w15:docId w15:val="{941F4F66-0B6E-8443-910B-4B8FF555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90327"/>
  </w:style>
  <w:style w:type="character" w:styleId="Hyperlink">
    <w:name w:val="Hyperlink"/>
    <w:basedOn w:val="DefaultParagraphFont"/>
    <w:uiPriority w:val="99"/>
    <w:unhideWhenUsed/>
    <w:rsid w:val="00990327"/>
    <w:rPr>
      <w:color w:val="0563C1" w:themeColor="hyperlink"/>
      <w:u w:val="single"/>
    </w:rPr>
  </w:style>
  <w:style w:type="character" w:styleId="UnresolvedMention">
    <w:name w:val="Unresolved Mention"/>
    <w:basedOn w:val="DefaultParagraphFont"/>
    <w:uiPriority w:val="99"/>
    <w:semiHidden/>
    <w:unhideWhenUsed/>
    <w:rsid w:val="009903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5422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ociologyencyclopedia.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8</Pages>
  <Words>1681</Words>
  <Characters>9583</Characters>
  <Application>Microsoft Office Word</Application>
  <DocSecurity>0</DocSecurity>
  <Lines>79</Lines>
  <Paragraphs>22</Paragraphs>
  <ScaleCrop>false</ScaleCrop>
  <Company/>
  <LinksUpToDate>false</LinksUpToDate>
  <CharactersWithSpaces>11242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Myna Watford</dc:creator>
  <cp:keywords/>
  <dc:description/>
  <cp:lastModifiedBy>Myna Watford</cp:lastModifiedBy>
  <cp:revision>2</cp:revision>
  <dcterms:created xsi:type="dcterms:W3CDTF">2020-04-05T01:29:00Z</dcterms:created>
  <dcterms:modified xsi:type="dcterms:W3CDTF">2020-04-05T16:47:00Z</dcterms:modified>
</cp:coreProperties>
</file>